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AD2DF2" w14:textId="77777777" w:rsidR="0034281E" w:rsidRPr="00711803" w:rsidRDefault="0034281E" w:rsidP="00336780">
      <w:pPr>
        <w:pageBreakBefore/>
        <w:numPr>
          <w:ilvl w:val="0"/>
          <w:numId w:val="1"/>
        </w:numPr>
        <w:rPr>
          <w:rStyle w:val="Textoennegrita"/>
        </w:rPr>
      </w:pPr>
      <w:bookmarkStart w:id="0" w:name="_Ref214008237"/>
      <w:r w:rsidRPr="00711803">
        <w:rPr>
          <w:rStyle w:val="Textoennegrita"/>
        </w:rPr>
        <w:t>PLAZOS EN GENERAL Y EN PARTICULAR.</w:t>
      </w:r>
      <w:bookmarkEnd w:id="0"/>
    </w:p>
    <w:p w14:paraId="6DC88882" w14:textId="77777777" w:rsidR="0034281E" w:rsidRPr="001B4BE9" w:rsidRDefault="0034281E" w:rsidP="0034281E">
      <w:pPr>
        <w:widowControl w:val="0"/>
        <w:rPr>
          <w:rFonts w:ascii="Calibri" w:eastAsia="Calibri" w:hAnsi="Calibri" w:cs="Calibri"/>
          <w:b/>
          <w:bCs/>
          <w:sz w:val="24"/>
          <w:szCs w:val="24"/>
          <w:lang w:val="es-AR"/>
        </w:rPr>
      </w:pPr>
      <w:r w:rsidRPr="001B4BE9">
        <w:rPr>
          <w:rFonts w:ascii="Calibri" w:eastAsia="Calibri" w:hAnsi="Calibri" w:cs="Calibri"/>
          <w:b/>
          <w:bCs/>
          <w:sz w:val="24"/>
          <w:szCs w:val="24"/>
          <w:lang w:val="es-AR"/>
        </w:rPr>
        <w:t>1) COMPUTO</w:t>
      </w:r>
    </w:p>
    <w:p w14:paraId="4129DD23" w14:textId="77777777" w:rsidR="0034281E" w:rsidRPr="001B4BE9" w:rsidRDefault="0034281E" w:rsidP="0034281E">
      <w:pPr>
        <w:widowControl w:val="0"/>
        <w:spacing w:after="0"/>
        <w:rPr>
          <w:rFonts w:ascii="Calibri" w:eastAsia="Calibri" w:hAnsi="Calibri" w:cs="Calibri"/>
          <w:sz w:val="24"/>
          <w:szCs w:val="24"/>
          <w:lang w:val="es-AR"/>
        </w:rPr>
      </w:pPr>
      <w:r w:rsidRPr="001B4BE9">
        <w:rPr>
          <w:rFonts w:ascii="Calibri" w:eastAsia="Calibri" w:hAnsi="Calibri" w:cs="Calibri"/>
          <w:sz w:val="24"/>
          <w:szCs w:val="24"/>
          <w:lang w:val="es-AR"/>
        </w:rPr>
        <w:t xml:space="preserve">Todos los </w:t>
      </w:r>
      <w:r w:rsidRPr="001B4BE9">
        <w:rPr>
          <w:rFonts w:ascii="Calibri" w:eastAsia="Calibri" w:hAnsi="Calibri" w:cs="Calibri"/>
          <w:b/>
          <w:bCs/>
          <w:sz w:val="24"/>
          <w:szCs w:val="24"/>
          <w:lang w:val="es-AR"/>
        </w:rPr>
        <w:t>plazos establecidos en el presente concurso</w:t>
      </w:r>
      <w:r w:rsidRPr="001B4BE9">
        <w:rPr>
          <w:rFonts w:ascii="Calibri" w:eastAsia="Calibri" w:hAnsi="Calibri" w:cs="Calibri"/>
          <w:sz w:val="24"/>
          <w:szCs w:val="24"/>
          <w:lang w:val="es-AR"/>
        </w:rPr>
        <w:t xml:space="preserve"> y en toda documentación relacionada con el proceso del llamado; análisis, evaluación y adjudicación serán computados en </w:t>
      </w:r>
      <w:r w:rsidRPr="001B4BE9">
        <w:rPr>
          <w:rFonts w:ascii="Calibri" w:eastAsia="Calibri" w:hAnsi="Calibri" w:cs="Calibri"/>
          <w:b/>
          <w:bCs/>
          <w:sz w:val="24"/>
          <w:szCs w:val="24"/>
          <w:lang w:val="es-AR"/>
        </w:rPr>
        <w:t>DÍAS CORRIDOS</w:t>
      </w:r>
      <w:r w:rsidRPr="001B4BE9">
        <w:rPr>
          <w:rFonts w:ascii="Calibri" w:eastAsia="Calibri" w:hAnsi="Calibri" w:cs="Calibri"/>
          <w:sz w:val="24"/>
          <w:szCs w:val="24"/>
          <w:lang w:val="es-AR"/>
        </w:rPr>
        <w:t>.</w:t>
      </w:r>
    </w:p>
    <w:p w14:paraId="7E154F91" w14:textId="77777777" w:rsidR="0034281E" w:rsidRPr="001B4BE9" w:rsidRDefault="0034281E" w:rsidP="0034281E">
      <w:pPr>
        <w:widowControl w:val="0"/>
        <w:spacing w:after="0"/>
        <w:rPr>
          <w:rFonts w:ascii="Calibri" w:eastAsia="Calibri" w:hAnsi="Calibri" w:cs="Calibri"/>
          <w:color w:val="000000"/>
          <w:sz w:val="24"/>
          <w:szCs w:val="24"/>
          <w:lang w:val="es-AR"/>
        </w:rPr>
      </w:pPr>
      <w:r w:rsidRPr="001B4BE9">
        <w:rPr>
          <w:rFonts w:ascii="Calibri" w:eastAsia="Calibri" w:hAnsi="Calibri" w:cs="Calibri"/>
          <w:sz w:val="24"/>
          <w:szCs w:val="24"/>
          <w:lang w:val="es-AR"/>
        </w:rPr>
        <w:t>Cuando el vencimiento de algún plazo coincida con un día inhábil, se extenderá dicho vencimiento al día hábil administrativo inmediato posterior, salvo que, por razones debidamente fundadas, la autoridad competente autorice que aquel vencimiento opere en día inhábil.</w:t>
      </w:r>
    </w:p>
    <w:p w14:paraId="129A754D" w14:textId="77777777" w:rsidR="0034281E" w:rsidRPr="001B4BE9" w:rsidRDefault="0034281E" w:rsidP="0034281E">
      <w:pPr>
        <w:widowControl w:val="0"/>
        <w:spacing w:after="0"/>
        <w:ind w:right="216"/>
        <w:rPr>
          <w:rFonts w:ascii="Calibri" w:eastAsia="Calibri" w:hAnsi="Calibri" w:cs="Calibri"/>
          <w:b/>
          <w:bCs/>
          <w:sz w:val="24"/>
          <w:szCs w:val="24"/>
          <w:lang w:val="es-AR"/>
        </w:rPr>
      </w:pPr>
      <w:r w:rsidRPr="001B4BE9">
        <w:rPr>
          <w:rFonts w:ascii="Calibri" w:eastAsia="Calibri" w:hAnsi="Calibri" w:cs="Calibri"/>
          <w:b/>
          <w:bCs/>
          <w:sz w:val="24"/>
          <w:szCs w:val="24"/>
          <w:lang w:val="es-AR"/>
        </w:rPr>
        <w:t xml:space="preserve">2) PLAZO PARA EFECTUAR CONSULTAS AL PLIEGO </w:t>
      </w:r>
    </w:p>
    <w:p w14:paraId="4A92B5C2" w14:textId="77777777" w:rsidR="0034281E" w:rsidRPr="001B4BE9" w:rsidRDefault="0034281E" w:rsidP="0034281E">
      <w:pPr>
        <w:widowControl w:val="0"/>
        <w:spacing w:after="0"/>
        <w:rPr>
          <w:rFonts w:ascii="Calibri" w:eastAsia="Calibri" w:hAnsi="Calibri" w:cs="Calibri"/>
          <w:sz w:val="24"/>
          <w:szCs w:val="24"/>
          <w:lang w:val="es-AR"/>
        </w:rPr>
      </w:pPr>
      <w:r w:rsidRPr="001B4BE9">
        <w:rPr>
          <w:rFonts w:ascii="Calibri" w:eastAsia="Calibri" w:hAnsi="Calibri" w:cs="Calibri"/>
          <w:sz w:val="24"/>
          <w:szCs w:val="24"/>
          <w:lang w:val="es-AR"/>
        </w:rPr>
        <w:t>Remitir a</w:t>
      </w:r>
      <w:r>
        <w:rPr>
          <w:rFonts w:ascii="Calibri" w:eastAsia="Calibri" w:hAnsi="Calibri" w:cs="Calibri"/>
          <w:sz w:val="24"/>
          <w:szCs w:val="24"/>
          <w:lang w:val="es-AR"/>
        </w:rPr>
        <w:t xml:space="preserve"> </w:t>
      </w:r>
      <w:r>
        <w:rPr>
          <w:rFonts w:ascii="Calibri" w:eastAsia="Calibri" w:hAnsi="Calibri" w:cs="Calibri"/>
          <w:sz w:val="24"/>
          <w:szCs w:val="24"/>
          <w:lang w:val="es-AR"/>
        </w:rPr>
        <w:fldChar w:fldCharType="begin"/>
      </w:r>
      <w:r>
        <w:rPr>
          <w:rFonts w:ascii="Calibri" w:eastAsia="Calibri" w:hAnsi="Calibri" w:cs="Calibri"/>
          <w:sz w:val="24"/>
          <w:szCs w:val="24"/>
          <w:lang w:val="es-AR"/>
        </w:rPr>
        <w:instrText xml:space="preserve"> REF _Ref214183113 \h </w:instrText>
      </w:r>
      <w:r>
        <w:rPr>
          <w:rFonts w:ascii="Calibri" w:eastAsia="Calibri" w:hAnsi="Calibri" w:cs="Calibri"/>
          <w:sz w:val="24"/>
          <w:szCs w:val="24"/>
          <w:lang w:val="es-AR"/>
        </w:rPr>
      </w:r>
      <w:r>
        <w:rPr>
          <w:rFonts w:ascii="Calibri" w:eastAsia="Calibri" w:hAnsi="Calibri" w:cs="Calibri"/>
          <w:sz w:val="24"/>
          <w:szCs w:val="24"/>
          <w:lang w:val="es-AR"/>
        </w:rPr>
        <w:fldChar w:fldCharType="separate"/>
      </w:r>
      <w:r w:rsidRPr="001B4BE9">
        <w:t xml:space="preserve">CLÁUSULA </w:t>
      </w:r>
      <w:proofErr w:type="spellStart"/>
      <w:r w:rsidRPr="001B4BE9">
        <w:t>N°</w:t>
      </w:r>
      <w:proofErr w:type="spellEnd"/>
      <w:r>
        <w:t xml:space="preserve"> </w:t>
      </w:r>
      <w:r w:rsidRPr="001B4BE9">
        <w:t>2: PROCEDIMIENTO GENERAL DEL CONCURSO</w:t>
      </w:r>
      <w:r>
        <w:rPr>
          <w:rFonts w:ascii="Calibri" w:eastAsia="Calibri" w:hAnsi="Calibri" w:cs="Calibri"/>
          <w:sz w:val="24"/>
          <w:szCs w:val="24"/>
          <w:lang w:val="es-AR"/>
        </w:rPr>
        <w:fldChar w:fldCharType="end"/>
      </w:r>
      <w:r>
        <w:rPr>
          <w:rFonts w:ascii="Calibri" w:eastAsia="Calibri" w:hAnsi="Calibri" w:cs="Calibri"/>
          <w:sz w:val="24"/>
          <w:szCs w:val="24"/>
          <w:lang w:val="es-AR"/>
        </w:rPr>
        <w:t>,</w:t>
      </w:r>
      <w:r w:rsidRPr="001B4BE9">
        <w:rPr>
          <w:rFonts w:ascii="Calibri" w:eastAsia="Calibri" w:hAnsi="Calibri" w:cs="Calibri"/>
          <w:sz w:val="24"/>
          <w:szCs w:val="24"/>
          <w:lang w:val="es-AR"/>
        </w:rPr>
        <w:t xml:space="preserve"> apartado 2.3.</w:t>
      </w:r>
    </w:p>
    <w:p w14:paraId="7953A273" w14:textId="77777777" w:rsidR="0034281E" w:rsidRPr="001B4BE9" w:rsidRDefault="0034281E" w:rsidP="0034281E">
      <w:pPr>
        <w:widowControl w:val="0"/>
        <w:spacing w:after="0"/>
        <w:rPr>
          <w:rFonts w:ascii="Calibri" w:eastAsia="Calibri" w:hAnsi="Calibri" w:cs="Calibri"/>
          <w:sz w:val="24"/>
          <w:szCs w:val="24"/>
          <w:lang w:val="es-AR"/>
        </w:rPr>
      </w:pPr>
      <w:r w:rsidRPr="001B4BE9">
        <w:rPr>
          <w:rFonts w:ascii="Calibri" w:eastAsia="Calibri" w:hAnsi="Calibri" w:cs="Calibri"/>
          <w:b/>
          <w:bCs/>
          <w:sz w:val="24"/>
          <w:szCs w:val="24"/>
          <w:lang w:val="es-AR"/>
        </w:rPr>
        <w:t xml:space="preserve">3) PLAZO PARA COMUNICAR LAS CIRCULARES </w:t>
      </w:r>
    </w:p>
    <w:p w14:paraId="188C00DA" w14:textId="77777777" w:rsidR="0034281E" w:rsidRPr="001B4BE9" w:rsidRDefault="0034281E" w:rsidP="0034281E">
      <w:pPr>
        <w:widowControl w:val="0"/>
        <w:spacing w:after="0"/>
        <w:rPr>
          <w:rFonts w:ascii="Calibri" w:eastAsia="Calibri" w:hAnsi="Calibri" w:cs="Calibri"/>
          <w:sz w:val="24"/>
          <w:szCs w:val="24"/>
          <w:lang w:val="es-AR"/>
        </w:rPr>
      </w:pPr>
      <w:r w:rsidRPr="001B4BE9">
        <w:rPr>
          <w:rFonts w:ascii="Calibri" w:eastAsia="Calibri" w:hAnsi="Calibri" w:cs="Calibri"/>
          <w:sz w:val="24"/>
          <w:szCs w:val="24"/>
          <w:lang w:val="es-AR"/>
        </w:rPr>
        <w:t>Las circulares serán comunicadas hasta 2 (dos) días hábiles antes de la fecha de presentación de oferta.</w:t>
      </w:r>
    </w:p>
    <w:p w14:paraId="4E097466" w14:textId="77777777" w:rsidR="0034281E" w:rsidRPr="001B4BE9" w:rsidRDefault="0034281E" w:rsidP="0034281E">
      <w:pPr>
        <w:widowControl w:val="0"/>
        <w:spacing w:after="0"/>
        <w:rPr>
          <w:rFonts w:ascii="Calibri" w:eastAsia="Calibri" w:hAnsi="Calibri" w:cs="Calibri"/>
          <w:sz w:val="24"/>
          <w:szCs w:val="24"/>
          <w:lang w:val="es-AR"/>
        </w:rPr>
      </w:pPr>
      <w:r w:rsidRPr="001B4BE9">
        <w:rPr>
          <w:rFonts w:ascii="Calibri" w:eastAsia="Calibri" w:hAnsi="Calibri" w:cs="Calibri"/>
          <w:b/>
          <w:bCs/>
          <w:sz w:val="24"/>
          <w:szCs w:val="24"/>
          <w:lang w:val="es-AR"/>
        </w:rPr>
        <w:t>PRIMERA ETAPA:</w:t>
      </w:r>
      <w:r w:rsidRPr="001B4BE9">
        <w:rPr>
          <w:rFonts w:ascii="Calibri" w:eastAsia="Calibri" w:hAnsi="Calibri" w:cs="Calibri"/>
          <w:sz w:val="24"/>
          <w:szCs w:val="24"/>
          <w:lang w:val="es-AR"/>
        </w:rPr>
        <w:t xml:space="preserve"> Todas las circulares serán notificadas al correo electrónico legal y sólo los oferentes que adquirieron el pliego.</w:t>
      </w:r>
    </w:p>
    <w:p w14:paraId="5BC358A6" w14:textId="77777777" w:rsidR="0034281E" w:rsidRPr="001B4BE9" w:rsidRDefault="0034281E" w:rsidP="0034281E">
      <w:pPr>
        <w:widowControl w:val="0"/>
        <w:spacing w:after="0"/>
        <w:rPr>
          <w:rFonts w:ascii="Calibri" w:eastAsia="Calibri" w:hAnsi="Calibri" w:cs="Calibri"/>
          <w:color w:val="FF0000"/>
          <w:sz w:val="24"/>
          <w:szCs w:val="24"/>
          <w:lang w:val="es-AR"/>
        </w:rPr>
      </w:pPr>
      <w:r w:rsidRPr="001B4BE9">
        <w:rPr>
          <w:rFonts w:ascii="Calibri" w:eastAsia="Calibri" w:hAnsi="Calibri" w:cs="Calibri"/>
          <w:b/>
          <w:bCs/>
          <w:sz w:val="24"/>
          <w:szCs w:val="24"/>
          <w:lang w:val="es-AR"/>
        </w:rPr>
        <w:t xml:space="preserve">SEGUNDA ETAPA: </w:t>
      </w:r>
    </w:p>
    <w:p w14:paraId="702CD236" w14:textId="77777777" w:rsidR="0034281E" w:rsidRPr="001B4BE9" w:rsidRDefault="0034281E" w:rsidP="0034281E">
      <w:pPr>
        <w:widowControl w:val="0"/>
        <w:numPr>
          <w:ilvl w:val="0"/>
          <w:numId w:val="2"/>
        </w:numPr>
        <w:spacing w:before="0" w:after="0"/>
        <w:rPr>
          <w:rFonts w:ascii="Calibri" w:eastAsia="Calibri" w:hAnsi="Calibri" w:cs="Calibri"/>
          <w:b/>
          <w:bCs/>
          <w:sz w:val="24"/>
          <w:szCs w:val="24"/>
          <w:lang w:val="es-AR"/>
        </w:rPr>
      </w:pPr>
      <w:r w:rsidRPr="001B4BE9">
        <w:rPr>
          <w:rFonts w:ascii="Calibri" w:eastAsia="Calibri" w:hAnsi="Calibri" w:cs="Calibri"/>
          <w:b/>
          <w:bCs/>
          <w:sz w:val="24"/>
          <w:szCs w:val="24"/>
          <w:lang w:val="es-AR"/>
        </w:rPr>
        <w:t xml:space="preserve">CIRCULARES: </w:t>
      </w:r>
      <w:r w:rsidRPr="001B4BE9">
        <w:rPr>
          <w:rFonts w:ascii="Calibri" w:eastAsia="Calibri" w:hAnsi="Calibri" w:cs="Calibri"/>
          <w:sz w:val="24"/>
          <w:szCs w:val="24"/>
          <w:lang w:val="es-AR"/>
        </w:rPr>
        <w:t>deberán ser publicadas con DOS (2) DÍAS HÁBILES como mínimo de anticipación a la fecha fijada para la presentación de las ofertas.</w:t>
      </w:r>
    </w:p>
    <w:p w14:paraId="02894FC4" w14:textId="77777777" w:rsidR="0034281E" w:rsidRPr="001B4BE9" w:rsidRDefault="0034281E" w:rsidP="0034281E">
      <w:pPr>
        <w:widowControl w:val="0"/>
        <w:numPr>
          <w:ilvl w:val="0"/>
          <w:numId w:val="2"/>
        </w:numPr>
        <w:spacing w:before="0" w:after="0"/>
        <w:rPr>
          <w:rFonts w:ascii="Calibri" w:eastAsia="Calibri" w:hAnsi="Calibri" w:cs="Calibri"/>
          <w:b/>
          <w:bCs/>
          <w:sz w:val="24"/>
          <w:szCs w:val="24"/>
          <w:lang w:val="es-AR"/>
        </w:rPr>
      </w:pPr>
      <w:r w:rsidRPr="001B4BE9">
        <w:rPr>
          <w:rFonts w:ascii="Calibri" w:eastAsia="Calibri" w:hAnsi="Calibri" w:cs="Calibri"/>
          <w:b/>
          <w:bCs/>
          <w:sz w:val="24"/>
          <w:szCs w:val="24"/>
          <w:lang w:val="es-AR"/>
        </w:rPr>
        <w:t xml:space="preserve">PRÓRROGAS: </w:t>
      </w:r>
      <w:r w:rsidRPr="001B4BE9">
        <w:rPr>
          <w:rFonts w:ascii="Calibri" w:eastAsia="Calibri" w:hAnsi="Calibri" w:cs="Calibri"/>
          <w:sz w:val="24"/>
          <w:szCs w:val="24"/>
          <w:lang w:val="es-AR"/>
        </w:rPr>
        <w:t>La autoridad de aplicación podrá determinar de oficio y a su exclusivo criterio eventuales prórrogas a la fecha de presentación o apertura de Ofertas, así como sus plazos.</w:t>
      </w:r>
    </w:p>
    <w:p w14:paraId="68C5C647" w14:textId="77777777" w:rsidR="0034281E" w:rsidRPr="001B4BE9" w:rsidRDefault="0034281E" w:rsidP="0034281E">
      <w:pPr>
        <w:widowControl w:val="0"/>
        <w:spacing w:after="0"/>
        <w:rPr>
          <w:rFonts w:ascii="Calibri" w:eastAsia="Calibri" w:hAnsi="Calibri" w:cs="Calibri"/>
          <w:sz w:val="24"/>
          <w:szCs w:val="24"/>
          <w:lang w:val="es-AR"/>
        </w:rPr>
      </w:pPr>
      <w:r w:rsidRPr="001B4BE9">
        <w:rPr>
          <w:rFonts w:ascii="Calibri" w:eastAsia="Calibri" w:hAnsi="Calibri" w:cs="Calibri"/>
          <w:sz w:val="24"/>
          <w:szCs w:val="24"/>
          <w:lang w:val="es-AR"/>
        </w:rPr>
        <w:t xml:space="preserve">Las circulares por las que se suspenda o se prorrogue la fecha de apertura o la de presentación de las Ofertas deberán ser difundidas y publicadas durante UN (1) DÍA HÁBIL por los mismos medios en que hubiera sido difundida, publicada y comunicado el presente LLAMADO, debiendo la última publicación tener lugar UN (1) DÍA HÁBIL como </w:t>
      </w:r>
      <w:r w:rsidRPr="001B4BE9">
        <w:rPr>
          <w:rFonts w:ascii="Calibri" w:eastAsia="Calibri" w:hAnsi="Calibri" w:cs="Calibri"/>
          <w:sz w:val="24"/>
          <w:szCs w:val="24"/>
          <w:lang w:val="es-AR"/>
        </w:rPr>
        <w:lastRenderedPageBreak/>
        <w:t xml:space="preserve">mínimo de anticipación a la fecha fijada para la presentación de las Ofertas. </w:t>
      </w:r>
    </w:p>
    <w:p w14:paraId="065474DB" w14:textId="77777777" w:rsidR="0034281E" w:rsidRPr="001B4BE9" w:rsidRDefault="0034281E" w:rsidP="0034281E">
      <w:pPr>
        <w:widowControl w:val="0"/>
        <w:spacing w:after="0"/>
        <w:rPr>
          <w:rFonts w:ascii="Calibri" w:eastAsia="Calibri" w:hAnsi="Calibri" w:cs="Calibri"/>
          <w:b/>
          <w:bCs/>
          <w:sz w:val="24"/>
          <w:szCs w:val="24"/>
          <w:lang w:val="es-AR"/>
        </w:rPr>
      </w:pPr>
      <w:r w:rsidRPr="001B4BE9">
        <w:rPr>
          <w:rFonts w:ascii="Calibri" w:eastAsia="Calibri" w:hAnsi="Calibri" w:cs="Calibri"/>
          <w:b/>
          <w:bCs/>
          <w:sz w:val="24"/>
          <w:szCs w:val="24"/>
          <w:lang w:val="es-AR"/>
        </w:rPr>
        <w:t>4) PLAZO PARA VISTA DE LAS OFERTAS</w:t>
      </w:r>
    </w:p>
    <w:p w14:paraId="71139E9E" w14:textId="77777777" w:rsidR="0034281E" w:rsidRPr="001B4BE9" w:rsidRDefault="0034281E" w:rsidP="0034281E">
      <w:pPr>
        <w:rPr>
          <w:lang w:val="es-AR"/>
        </w:rPr>
      </w:pPr>
      <w:r w:rsidRPr="001B4BE9">
        <w:rPr>
          <w:lang w:val="es-AR"/>
        </w:rPr>
        <w:t xml:space="preserve">Los Oferentes tendrán derecho a tomar vista de las ofertas, desde el día posterior al acto de apertura por </w:t>
      </w:r>
      <w:r w:rsidRPr="001B4BE9">
        <w:rPr>
          <w:b/>
          <w:bCs/>
          <w:lang w:val="es-AR"/>
        </w:rPr>
        <w:t>1 (un) día</w:t>
      </w:r>
      <w:r w:rsidRPr="001B4BE9">
        <w:rPr>
          <w:lang w:val="es-AR"/>
        </w:rPr>
        <w:t xml:space="preserve"> </w:t>
      </w:r>
      <w:r w:rsidRPr="001B4BE9">
        <w:rPr>
          <w:b/>
          <w:bCs/>
          <w:lang w:val="es-AR"/>
        </w:rPr>
        <w:t>hábil.</w:t>
      </w:r>
    </w:p>
    <w:p w14:paraId="18B901EC" w14:textId="77777777" w:rsidR="0034281E" w:rsidRPr="001B4BE9" w:rsidRDefault="0034281E" w:rsidP="0034281E">
      <w:pPr>
        <w:rPr>
          <w:lang w:val="es-AR"/>
        </w:rPr>
      </w:pPr>
      <w:r w:rsidRPr="001B4BE9">
        <w:rPr>
          <w:lang w:val="es-AR"/>
        </w:rPr>
        <w:t>Los representantes legales y/o técnicos y/o habilitados por escrito por el Oferente bajo firma certificada, podrán tomar vista del contenido de las ofertas concurriendo para tal fin a la sede de EMESA, pudiendo dentro de este plazo, presentar las observaciones que estimarán procedentes. Vencido este plazo las actuaciones pasarán a estudio de “la Comisión” manteniéndose en estado “reservada” hasta el momento de la adjudicación.</w:t>
      </w:r>
    </w:p>
    <w:p w14:paraId="0C8B6B37" w14:textId="77777777" w:rsidR="0034281E" w:rsidRPr="001B4BE9" w:rsidRDefault="0034281E" w:rsidP="0034281E">
      <w:pPr>
        <w:widowControl w:val="0"/>
        <w:spacing w:after="0"/>
        <w:rPr>
          <w:rFonts w:ascii="Calibri" w:eastAsia="Calibri" w:hAnsi="Calibri" w:cs="Calibri"/>
          <w:b/>
          <w:bCs/>
          <w:sz w:val="24"/>
          <w:szCs w:val="24"/>
          <w:lang w:val="es-AR"/>
        </w:rPr>
      </w:pPr>
      <w:r w:rsidRPr="001B4BE9">
        <w:rPr>
          <w:rFonts w:ascii="Calibri" w:eastAsia="Calibri" w:hAnsi="Calibri" w:cs="Calibri"/>
          <w:b/>
          <w:bCs/>
          <w:sz w:val="24"/>
          <w:szCs w:val="24"/>
          <w:lang w:val="es-AR"/>
        </w:rPr>
        <w:t>5) PLAZO PARA SUBSANAR OFERTAS</w:t>
      </w:r>
    </w:p>
    <w:p w14:paraId="5B9CE476" w14:textId="77777777" w:rsidR="0034281E" w:rsidRPr="001B4BE9" w:rsidRDefault="0034281E" w:rsidP="0034281E">
      <w:pPr>
        <w:rPr>
          <w:lang w:val="es-AR"/>
        </w:rPr>
      </w:pPr>
      <w:r w:rsidRPr="001B4BE9">
        <w:rPr>
          <w:lang w:val="es-AR"/>
        </w:rPr>
        <w:t>La Comisión Evaluadora, al constatar la existencia de errores u omisiones no esenciales, deberá intimar al OFERENTE a que subsane dichos errores u omisiones dentro del término de</w:t>
      </w:r>
      <w:r w:rsidRPr="001B4BE9">
        <w:rPr>
          <w:b/>
          <w:bCs/>
          <w:lang w:val="es-AR"/>
        </w:rPr>
        <w:t xml:space="preserve"> DOS (2) días corridos</w:t>
      </w:r>
      <w:r w:rsidRPr="001B4BE9">
        <w:rPr>
          <w:lang w:val="es-AR"/>
        </w:rPr>
        <w:t xml:space="preserve"> de notificado.</w:t>
      </w:r>
    </w:p>
    <w:p w14:paraId="2CF567A6" w14:textId="77777777" w:rsidR="0034281E" w:rsidRPr="001B4BE9" w:rsidRDefault="0034281E" w:rsidP="0034281E">
      <w:pPr>
        <w:rPr>
          <w:lang w:val="es-AR"/>
        </w:rPr>
      </w:pPr>
      <w:r w:rsidRPr="001B4BE9">
        <w:rPr>
          <w:lang w:val="es-AR"/>
        </w:rPr>
        <w:t>La Comisión Evaluadora podrá requerir a los Oferentes las aclaraciones que consideren oportunas; también podrá solicitar documentación complementaria para el análisis de la/s Oferta/s y/o solicitar informes de terceros, para confirmar la veracidad de la documentación y las declaraciones que suministren los Oferentes.  Se podrá utilizar estas herramientas siempre que no impliquen modificar la Oferta, ni subsanar deficiencias que alterarían el principio de igualdad entre los Oferentes. Los Oferentes deberán contestar con la documentación o información solicitada requeridas en el plazo que establezca la Comisión Evaluadora.</w:t>
      </w:r>
    </w:p>
    <w:p w14:paraId="5D960A8B" w14:textId="77777777" w:rsidR="0034281E" w:rsidRPr="001B4BE9" w:rsidRDefault="0034281E" w:rsidP="0034281E">
      <w:pPr>
        <w:widowControl w:val="0"/>
        <w:spacing w:after="0"/>
        <w:rPr>
          <w:rFonts w:ascii="Calibri" w:eastAsia="Calibri" w:hAnsi="Calibri" w:cs="Calibri"/>
          <w:b/>
          <w:bCs/>
          <w:sz w:val="24"/>
          <w:szCs w:val="24"/>
          <w:lang w:val="es-AR"/>
        </w:rPr>
      </w:pPr>
      <w:r w:rsidRPr="001B4BE9">
        <w:rPr>
          <w:rFonts w:ascii="Calibri" w:eastAsia="Calibri" w:hAnsi="Calibri" w:cs="Calibri"/>
          <w:b/>
          <w:bCs/>
          <w:sz w:val="24"/>
          <w:szCs w:val="24"/>
          <w:lang w:val="es-AR"/>
        </w:rPr>
        <w:t xml:space="preserve">6) PLAZO DE MANTENIMIENTO DE OFERTA </w:t>
      </w:r>
    </w:p>
    <w:p w14:paraId="601F5C06" w14:textId="77777777" w:rsidR="0034281E" w:rsidRPr="001B4BE9" w:rsidRDefault="0034281E" w:rsidP="0034281E">
      <w:pPr>
        <w:rPr>
          <w:lang w:val="es-AR"/>
        </w:rPr>
      </w:pPr>
      <w:r w:rsidRPr="001B4BE9">
        <w:rPr>
          <w:lang w:val="es-AR"/>
        </w:rPr>
        <w:t>Los Oferentes deberán mantener sus Ofertas sin posibilidad de modificar las mismas por el término de SESENTA (60) días corridos contados a partir de la fecha del acto de apertura y recepción de las OFERTAS establecido en la CONVOCATORIA. A su vencimiento, el plazo antes aludido se renovará en forma automática por un lapso igual a la inicial, salvo que el oferente manifestará en forma expresa su voluntad de no renovar el mantenimiento de su Oferta con una antelación mínima de DIEZ (10) días corridos al vencimiento del plazo.</w:t>
      </w:r>
    </w:p>
    <w:p w14:paraId="2E1A30BE" w14:textId="77777777" w:rsidR="0034281E" w:rsidRPr="001B4BE9" w:rsidRDefault="0034281E" w:rsidP="0034281E">
      <w:pPr>
        <w:widowControl w:val="0"/>
        <w:spacing w:after="0"/>
        <w:rPr>
          <w:rFonts w:ascii="Calibri" w:eastAsia="Calibri" w:hAnsi="Calibri" w:cs="Calibri"/>
          <w:b/>
          <w:bCs/>
          <w:sz w:val="24"/>
          <w:szCs w:val="24"/>
          <w:lang w:val="es-AR"/>
        </w:rPr>
      </w:pPr>
      <w:r w:rsidRPr="001B4BE9">
        <w:rPr>
          <w:rFonts w:ascii="Calibri" w:eastAsia="Calibri" w:hAnsi="Calibri" w:cs="Calibri"/>
          <w:b/>
          <w:bCs/>
          <w:sz w:val="24"/>
          <w:szCs w:val="24"/>
          <w:lang w:val="es-AR"/>
        </w:rPr>
        <w:lastRenderedPageBreak/>
        <w:t>7) PLAZO PARA OBSERVAR O SOLICITAR LA RECONSIDERACIÓN – Trámite</w:t>
      </w:r>
    </w:p>
    <w:p w14:paraId="3DCCA557" w14:textId="77777777" w:rsidR="0034281E" w:rsidRPr="001B4BE9" w:rsidRDefault="0034281E" w:rsidP="0034281E">
      <w:pPr>
        <w:rPr>
          <w:lang w:val="es-AR"/>
        </w:rPr>
      </w:pPr>
      <w:r w:rsidRPr="001B4BE9">
        <w:rPr>
          <w:lang w:val="es-AR"/>
        </w:rPr>
        <w:t>Presentación de observaciones y/o Impugnaciones</w:t>
      </w:r>
    </w:p>
    <w:p w14:paraId="6EEFDCE9" w14:textId="77777777" w:rsidR="0034281E" w:rsidRPr="001B4BE9" w:rsidRDefault="0034281E" w:rsidP="0034281E">
      <w:pPr>
        <w:widowControl w:val="0"/>
        <w:numPr>
          <w:ilvl w:val="0"/>
          <w:numId w:val="3"/>
        </w:numPr>
        <w:spacing w:before="0" w:after="0"/>
        <w:rPr>
          <w:rFonts w:ascii="Calibri" w:eastAsia="Calibri" w:hAnsi="Calibri" w:cs="Calibri"/>
          <w:b/>
          <w:bCs/>
          <w:sz w:val="24"/>
          <w:szCs w:val="24"/>
          <w:lang w:val="es-AR"/>
        </w:rPr>
      </w:pPr>
      <w:r w:rsidRPr="001B4BE9">
        <w:rPr>
          <w:rFonts w:ascii="Calibri" w:eastAsia="Calibri" w:hAnsi="Calibri" w:cs="Calibri"/>
          <w:b/>
          <w:bCs/>
          <w:sz w:val="24"/>
          <w:szCs w:val="24"/>
          <w:lang w:val="es-AR"/>
        </w:rPr>
        <w:t xml:space="preserve">Observaciones a las formalidades del ACTO de APERTURA: </w:t>
      </w:r>
      <w:r w:rsidRPr="001B4BE9">
        <w:rPr>
          <w:lang w:val="es-AR"/>
        </w:rPr>
        <w:t>Dentro del primer día hábil dentro de la apertura del Sobre N°1 el oferente podrá presentar observaciones respecto de las formalidades del acto de apertura y de las ofertas presentadas.</w:t>
      </w:r>
      <w:r w:rsidRPr="001B4BE9">
        <w:rPr>
          <w:rFonts w:ascii="Calibri" w:eastAsia="Calibri" w:hAnsi="Calibri" w:cs="Calibri"/>
          <w:sz w:val="24"/>
          <w:szCs w:val="24"/>
          <w:lang w:val="es-AR"/>
        </w:rPr>
        <w:t xml:space="preserve"> </w:t>
      </w:r>
    </w:p>
    <w:p w14:paraId="02FABC7A" w14:textId="77777777" w:rsidR="0034281E" w:rsidRPr="001B4BE9" w:rsidRDefault="0034281E" w:rsidP="0034281E">
      <w:pPr>
        <w:widowControl w:val="0"/>
        <w:numPr>
          <w:ilvl w:val="0"/>
          <w:numId w:val="3"/>
        </w:numPr>
        <w:spacing w:before="0" w:after="0"/>
        <w:rPr>
          <w:rFonts w:ascii="Calibri" w:eastAsia="Calibri" w:hAnsi="Calibri" w:cs="Calibri"/>
          <w:b/>
          <w:bCs/>
          <w:sz w:val="24"/>
          <w:szCs w:val="24"/>
          <w:lang w:val="es-AR"/>
        </w:rPr>
      </w:pPr>
      <w:r w:rsidRPr="001B4BE9">
        <w:rPr>
          <w:rFonts w:ascii="Calibri" w:eastAsia="Calibri" w:hAnsi="Calibri" w:cs="Calibri"/>
          <w:b/>
          <w:bCs/>
          <w:color w:val="000000"/>
          <w:sz w:val="24"/>
          <w:szCs w:val="24"/>
          <w:lang w:val="es-AR"/>
        </w:rPr>
        <w:t>Observación a la calificación de oferentes:</w:t>
      </w:r>
      <w:r w:rsidRPr="001B4BE9">
        <w:rPr>
          <w:rFonts w:ascii="Calibri" w:eastAsia="Calibri" w:hAnsi="Calibri" w:cs="Calibri"/>
          <w:color w:val="000000"/>
          <w:sz w:val="24"/>
          <w:szCs w:val="24"/>
          <w:lang w:val="es-AR"/>
        </w:rPr>
        <w:t xml:space="preserve"> </w:t>
      </w:r>
      <w:r w:rsidRPr="001B4BE9">
        <w:rPr>
          <w:lang w:val="es-AR"/>
        </w:rPr>
        <w:t xml:space="preserve">los Oferentes podrán presentar observaciones o reconsideración al informe de calificación del sobre N°1 dentro de los dos (2) días hábiles perentorios posteriores a la notificación del Informe de calificación del Sobre </w:t>
      </w:r>
      <w:proofErr w:type="spellStart"/>
      <w:r w:rsidRPr="001B4BE9">
        <w:rPr>
          <w:lang w:val="es-AR"/>
        </w:rPr>
        <w:t>N°</w:t>
      </w:r>
      <w:proofErr w:type="spellEnd"/>
      <w:r w:rsidRPr="001B4BE9">
        <w:rPr>
          <w:lang w:val="es-AR"/>
        </w:rPr>
        <w:t xml:space="preserve"> 1. El Ente podrá considerar la observación si, a su criterio, la misma reviste entidad suficiente, sea para solicitar subsanación o como elemento de consideración previo al acto de calificación del sobre </w:t>
      </w:r>
      <w:proofErr w:type="spellStart"/>
      <w:r w:rsidRPr="001B4BE9">
        <w:rPr>
          <w:lang w:val="es-AR"/>
        </w:rPr>
        <w:t>N°</w:t>
      </w:r>
      <w:proofErr w:type="spellEnd"/>
      <w:r w:rsidRPr="001B4BE9">
        <w:rPr>
          <w:lang w:val="es-AR"/>
        </w:rPr>
        <w:t xml:space="preserve"> 1.</w:t>
      </w:r>
    </w:p>
    <w:p w14:paraId="681D4219" w14:textId="77777777" w:rsidR="0034281E" w:rsidRPr="001B4BE9" w:rsidRDefault="0034281E" w:rsidP="0034281E">
      <w:pPr>
        <w:rPr>
          <w:lang w:val="es-AR"/>
        </w:rPr>
      </w:pPr>
      <w:r w:rsidRPr="001B4BE9">
        <w:rPr>
          <w:lang w:val="es-AR"/>
        </w:rPr>
        <w:t xml:space="preserve">Las observaciones de los incisos a) y b) deberán estar debidamente fundadas y acompañadas de una garantía equivalente a </w:t>
      </w:r>
      <w:r w:rsidRPr="001B4BE9">
        <w:rPr>
          <w:b/>
          <w:bCs/>
          <w:lang w:val="es-AR"/>
        </w:rPr>
        <w:t>DÓLARES ESTA</w:t>
      </w:r>
      <w:r>
        <w:rPr>
          <w:b/>
          <w:bCs/>
          <w:lang w:val="es-AR"/>
        </w:rPr>
        <w:t>DO</w:t>
      </w:r>
      <w:r w:rsidRPr="001B4BE9">
        <w:rPr>
          <w:b/>
          <w:bCs/>
          <w:lang w:val="es-AR"/>
        </w:rPr>
        <w:t>UNIDENSES MIL QUINIENTOS (USD 1.500)</w:t>
      </w:r>
      <w:r w:rsidRPr="001B4BE9">
        <w:rPr>
          <w:lang w:val="es-AR"/>
        </w:rPr>
        <w:t xml:space="preserve"> a la orden de EMESA, en las mismas modalidades establecidas en el Pliego, con comprobante otorgado por EMESA; el mismo deberá ser adjuntado con la presentación de la impugnación efectiva, a fin de dar tratamiento; </w:t>
      </w:r>
      <w:r w:rsidRPr="001B4BE9">
        <w:rPr>
          <w:b/>
          <w:bCs/>
          <w:u w:val="single"/>
          <w:lang w:val="es-AR"/>
        </w:rPr>
        <w:t>de lo contrario, se considerarán como no presentadas</w:t>
      </w:r>
      <w:r w:rsidRPr="001B4BE9">
        <w:rPr>
          <w:lang w:val="es-AR"/>
        </w:rPr>
        <w:t xml:space="preserve">. Dicho monto perderá el recurrente si aquella fuera rechazada total o parcialmente. </w:t>
      </w:r>
    </w:p>
    <w:p w14:paraId="457DB89D" w14:textId="77777777" w:rsidR="0034281E" w:rsidRPr="001B4BE9" w:rsidRDefault="0034281E" w:rsidP="0034281E">
      <w:pPr>
        <w:rPr>
          <w:lang w:val="es-AR"/>
        </w:rPr>
      </w:pPr>
      <w:r w:rsidRPr="001B4BE9">
        <w:rPr>
          <w:lang w:val="es-AR"/>
        </w:rPr>
        <w:t xml:space="preserve">En caso de que la observación resulte admitida se restituirá la garantía en el plazo máximo de treinta (30) días corridos, sin actualizaciones ni intereses. </w:t>
      </w:r>
    </w:p>
    <w:p w14:paraId="03202F5D" w14:textId="77777777" w:rsidR="0034281E" w:rsidRPr="001B4BE9" w:rsidRDefault="0034281E" w:rsidP="0034281E">
      <w:pPr>
        <w:rPr>
          <w:lang w:val="es-AR"/>
        </w:rPr>
      </w:pPr>
      <w:r w:rsidRPr="001B4BE9">
        <w:rPr>
          <w:lang w:val="es-AR"/>
        </w:rPr>
        <w:t>Las observaciones o solicitud de reconsideración presentadas, no suspenderán los procesos del presente llamado, salvo disposición en contrario del Directorio de EMESA.</w:t>
      </w:r>
    </w:p>
    <w:p w14:paraId="04C5AB7A" w14:textId="77777777" w:rsidR="0034281E" w:rsidRPr="001B4BE9" w:rsidRDefault="0034281E" w:rsidP="0034281E">
      <w:pPr>
        <w:widowControl w:val="0"/>
        <w:spacing w:before="288" w:after="0"/>
        <w:rPr>
          <w:rFonts w:ascii="Calibri" w:eastAsia="Calibri" w:hAnsi="Calibri" w:cs="Calibri"/>
          <w:b/>
          <w:bCs/>
          <w:sz w:val="24"/>
          <w:szCs w:val="24"/>
          <w:lang w:val="es-AR"/>
        </w:rPr>
      </w:pPr>
      <w:r w:rsidRPr="001B4BE9">
        <w:rPr>
          <w:rFonts w:ascii="Calibri" w:eastAsia="Calibri" w:hAnsi="Calibri" w:cs="Calibri"/>
          <w:sz w:val="24"/>
          <w:szCs w:val="24"/>
          <w:lang w:val="es-AR"/>
        </w:rPr>
        <w:t xml:space="preserve"> 9</w:t>
      </w:r>
      <w:r w:rsidRPr="001B4BE9">
        <w:rPr>
          <w:rFonts w:ascii="Calibri" w:eastAsia="Calibri" w:hAnsi="Calibri" w:cs="Calibri"/>
          <w:b/>
          <w:bCs/>
          <w:sz w:val="24"/>
          <w:szCs w:val="24"/>
          <w:lang w:val="es-AR"/>
        </w:rPr>
        <w:t>)</w:t>
      </w:r>
      <w:r w:rsidRPr="001B4BE9">
        <w:rPr>
          <w:rFonts w:ascii="Calibri" w:eastAsia="Calibri" w:hAnsi="Calibri" w:cs="Calibri"/>
          <w:sz w:val="24"/>
          <w:szCs w:val="24"/>
          <w:lang w:val="es-AR"/>
        </w:rPr>
        <w:t xml:space="preserve"> </w:t>
      </w:r>
      <w:r w:rsidRPr="001B4BE9">
        <w:rPr>
          <w:rFonts w:ascii="Calibri" w:eastAsia="Calibri" w:hAnsi="Calibri" w:cs="Calibri"/>
          <w:b/>
          <w:bCs/>
          <w:sz w:val="24"/>
          <w:szCs w:val="24"/>
          <w:lang w:val="es-AR"/>
        </w:rPr>
        <w:t>PLAZO PARA</w:t>
      </w:r>
      <w:r w:rsidRPr="001B4BE9">
        <w:rPr>
          <w:rFonts w:ascii="Calibri" w:eastAsia="Calibri" w:hAnsi="Calibri" w:cs="Calibri"/>
          <w:sz w:val="24"/>
          <w:szCs w:val="24"/>
          <w:lang w:val="es-AR"/>
        </w:rPr>
        <w:t xml:space="preserve"> </w:t>
      </w:r>
      <w:r w:rsidRPr="001B4BE9">
        <w:rPr>
          <w:rFonts w:ascii="Calibri" w:eastAsia="Calibri" w:hAnsi="Calibri" w:cs="Calibri"/>
          <w:b/>
          <w:bCs/>
          <w:sz w:val="24"/>
          <w:szCs w:val="24"/>
          <w:lang w:val="es-AR"/>
        </w:rPr>
        <w:t>DEVOLUCIÓN DE GARANTÍA DE MANTENIMIENTO DE LA OFERTA</w:t>
      </w:r>
    </w:p>
    <w:p w14:paraId="2E500CA3" w14:textId="77777777" w:rsidR="0034281E" w:rsidRPr="001B4BE9" w:rsidRDefault="0034281E" w:rsidP="0034281E">
      <w:pPr>
        <w:rPr>
          <w:lang w:val="es-AR"/>
        </w:rPr>
      </w:pPr>
      <w:r w:rsidRPr="001B4BE9">
        <w:rPr>
          <w:lang w:val="es-AR"/>
        </w:rPr>
        <w:t xml:space="preserve">Dentro de los CINCO (5) DÍAS HÁBILES posteriores a la suscripción del CONTRATO, será restituida al contratista y a los Oferentes no adjudicados la GARANTÍA DE MANTENIMIENTO DE LA OFERTA. Vencido el plazo precedente, el Ente debe intimar a los Oferentes a retirar la garantía bajo apercibimiento de proceder a su destrucción. </w:t>
      </w:r>
    </w:p>
    <w:p w14:paraId="5001A537" w14:textId="77777777" w:rsidR="0034281E" w:rsidRPr="001B4BE9" w:rsidRDefault="0034281E" w:rsidP="0034281E">
      <w:pPr>
        <w:widowControl w:val="0"/>
        <w:spacing w:after="0"/>
        <w:rPr>
          <w:rFonts w:ascii="Calibri" w:eastAsia="Calibri" w:hAnsi="Calibri" w:cs="Calibri"/>
          <w:b/>
          <w:bCs/>
          <w:sz w:val="24"/>
          <w:szCs w:val="24"/>
          <w:lang w:val="es-AR"/>
        </w:rPr>
      </w:pPr>
      <w:r w:rsidRPr="001B4BE9">
        <w:rPr>
          <w:rFonts w:ascii="Calibri" w:eastAsia="Calibri" w:hAnsi="Calibri" w:cs="Calibri"/>
          <w:b/>
          <w:bCs/>
          <w:sz w:val="24"/>
          <w:szCs w:val="24"/>
          <w:lang w:val="es-AR"/>
        </w:rPr>
        <w:t>10) PLAZO DE CONSTITUCIÓN DE GARANTÍA DE CUMPLIMIENTO DE CONTRATO</w:t>
      </w:r>
    </w:p>
    <w:p w14:paraId="6A2C2208" w14:textId="77777777" w:rsidR="0034281E" w:rsidRDefault="0034281E" w:rsidP="0034281E">
      <w:pPr>
        <w:rPr>
          <w:lang w:val="es-AR"/>
        </w:rPr>
      </w:pPr>
      <w:r w:rsidRPr="001B4BE9">
        <w:rPr>
          <w:lang w:val="es-AR"/>
        </w:rPr>
        <w:lastRenderedPageBreak/>
        <w:t xml:space="preserve">En forma previa a la suscripción del contrato el adjudicatario deberá presentar las garantías de cumplimiento de contrato en los términos y condiciones que se establecen en el </w:t>
      </w:r>
      <w:r w:rsidRPr="001B4BE9">
        <w:rPr>
          <w:lang w:val="es-AR"/>
        </w:rPr>
        <w:fldChar w:fldCharType="begin"/>
      </w:r>
      <w:r w:rsidRPr="001B4BE9">
        <w:rPr>
          <w:lang w:val="es-AR"/>
        </w:rPr>
        <w:instrText xml:space="preserve"> REF _Ref214018634 \r \h </w:instrText>
      </w:r>
      <w:r w:rsidRPr="001B4BE9">
        <w:rPr>
          <w:lang w:val="es-AR"/>
        </w:rPr>
      </w:r>
      <w:r w:rsidRPr="001B4BE9">
        <w:rPr>
          <w:lang w:val="es-AR"/>
        </w:rPr>
        <w:fldChar w:fldCharType="separate"/>
      </w:r>
      <w:r>
        <w:rPr>
          <w:lang w:val="es-AR"/>
        </w:rPr>
        <w:t>Anexo 4</w:t>
      </w:r>
      <w:r w:rsidRPr="001B4BE9">
        <w:rPr>
          <w:lang w:val="es-AR"/>
        </w:rPr>
        <w:fldChar w:fldCharType="end"/>
      </w:r>
    </w:p>
    <w:p w14:paraId="5AB39A29" w14:textId="77777777" w:rsidR="00CE400E" w:rsidRPr="0034281E" w:rsidRDefault="00CE400E">
      <w:pPr>
        <w:rPr>
          <w:lang w:val="es-AR"/>
        </w:rPr>
      </w:pPr>
    </w:p>
    <w:sectPr w:rsidR="00CE400E" w:rsidRPr="0034281E">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5149B" w14:textId="77777777" w:rsidR="00626B7B" w:rsidRDefault="00626B7B" w:rsidP="0034281E">
      <w:pPr>
        <w:spacing w:before="0" w:after="0" w:line="240" w:lineRule="auto"/>
      </w:pPr>
      <w:r>
        <w:separator/>
      </w:r>
    </w:p>
  </w:endnote>
  <w:endnote w:type="continuationSeparator" w:id="0">
    <w:p w14:paraId="19B39D82" w14:textId="77777777" w:rsidR="00626B7B" w:rsidRDefault="00626B7B" w:rsidP="0034281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tag w:val="goog_rdk_0"/>
      <w:id w:val="41565460"/>
    </w:sdtPr>
    <w:sdtContent>
      <w:p w14:paraId="00281BE7" w14:textId="77777777" w:rsidR="0034281E" w:rsidRPr="00F16B53" w:rsidRDefault="0034281E" w:rsidP="0034281E">
        <w:pPr>
          <w:pBdr>
            <w:top w:val="nil"/>
            <w:left w:val="nil"/>
            <w:bottom w:val="nil"/>
            <w:right w:val="nil"/>
            <w:between w:val="nil"/>
          </w:pBdr>
          <w:spacing w:after="0" w:line="240" w:lineRule="auto"/>
          <w:ind w:right="440"/>
          <w:jc w:val="right"/>
        </w:pPr>
        <w:r>
          <w:rPr>
            <w:sz w:val="18"/>
            <w:szCs w:val="18"/>
          </w:rPr>
          <w:t xml:space="preserve">Página: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r>
          <w:rPr>
            <w:sz w:val="18"/>
            <w:szCs w:val="18"/>
          </w:rPr>
          <w:t xml:space="preserve"> de </w:t>
        </w:r>
        <w:r>
          <w:rPr>
            <w:sz w:val="18"/>
            <w:szCs w:val="18"/>
          </w:rPr>
          <w:fldChar w:fldCharType="begin"/>
        </w:r>
        <w:r>
          <w:rPr>
            <w:sz w:val="18"/>
            <w:szCs w:val="18"/>
          </w:rPr>
          <w:instrText>NUMPAGES</w:instrText>
        </w:r>
        <w:r>
          <w:rPr>
            <w:sz w:val="18"/>
            <w:szCs w:val="18"/>
          </w:rPr>
          <w:fldChar w:fldCharType="separate"/>
        </w:r>
        <w:r>
          <w:rPr>
            <w:sz w:val="18"/>
            <w:szCs w:val="18"/>
          </w:rPr>
          <w:t>6</w:t>
        </w:r>
        <w:r>
          <w:rPr>
            <w:sz w:val="18"/>
            <w:szCs w:val="18"/>
          </w:rPr>
          <w:fldChar w:fldCharType="end"/>
        </w:r>
      </w:p>
    </w:sdtContent>
  </w:sdt>
  <w:p w14:paraId="263D0E17" w14:textId="77777777" w:rsidR="0034281E" w:rsidRDefault="0034281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A130B" w14:textId="77777777" w:rsidR="00626B7B" w:rsidRDefault="00626B7B" w:rsidP="0034281E">
      <w:pPr>
        <w:spacing w:before="0" w:after="0" w:line="240" w:lineRule="auto"/>
      </w:pPr>
      <w:r>
        <w:separator/>
      </w:r>
    </w:p>
  </w:footnote>
  <w:footnote w:type="continuationSeparator" w:id="0">
    <w:p w14:paraId="60E055E2" w14:textId="77777777" w:rsidR="00626B7B" w:rsidRDefault="00626B7B" w:rsidP="0034281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9"/>
      <w:gridCol w:w="6792"/>
    </w:tblGrid>
    <w:tr w:rsidR="0034281E" w14:paraId="1940E10B" w14:textId="77777777" w:rsidTr="004A4E7D">
      <w:trPr>
        <w:trHeight w:val="513"/>
      </w:trPr>
      <w:tc>
        <w:tcPr>
          <w:tcW w:w="2559" w:type="dxa"/>
          <w:vAlign w:val="center"/>
        </w:tcPr>
        <w:p w14:paraId="78F2C372" w14:textId="77777777" w:rsidR="0034281E" w:rsidRDefault="0034281E" w:rsidP="0034281E">
          <w:pPr>
            <w:pBdr>
              <w:top w:val="nil"/>
              <w:left w:val="nil"/>
              <w:bottom w:val="nil"/>
              <w:right w:val="nil"/>
              <w:between w:val="nil"/>
            </w:pBdr>
            <w:tabs>
              <w:tab w:val="center" w:pos="4252"/>
              <w:tab w:val="right" w:pos="8504"/>
            </w:tabs>
            <w:ind w:left="314" w:right="169"/>
            <w:jc w:val="center"/>
            <w:rPr>
              <w:color w:val="000000"/>
            </w:rPr>
          </w:pPr>
          <w:r>
            <w:rPr>
              <w:noProof/>
              <w:color w:val="000000"/>
              <w:lang w:val="es-AR" w:eastAsia="es-AR"/>
            </w:rPr>
            <w:drawing>
              <wp:inline distT="0" distB="0" distL="0" distR="0" wp14:anchorId="69061D96" wp14:editId="2AAA0558">
                <wp:extent cx="1175706" cy="360000"/>
                <wp:effectExtent l="0" t="0" r="0" b="0"/>
                <wp:docPr id="6" name="image26.jpg" descr="Logotip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0" name="image26.jpg" descr="Logotipo&#10;&#10;El contenido generado por IA puede ser incorrecto."/>
                        <pic:cNvPicPr preferRelativeResize="0"/>
                      </pic:nvPicPr>
                      <pic:blipFill>
                        <a:blip r:embed="rId1"/>
                        <a:srcRect/>
                        <a:stretch>
                          <a:fillRect/>
                        </a:stretch>
                      </pic:blipFill>
                      <pic:spPr>
                        <a:xfrm>
                          <a:off x="0" y="0"/>
                          <a:ext cx="1175706" cy="360000"/>
                        </a:xfrm>
                        <a:prstGeom prst="rect">
                          <a:avLst/>
                        </a:prstGeom>
                        <a:ln/>
                      </pic:spPr>
                    </pic:pic>
                  </a:graphicData>
                </a:graphic>
              </wp:inline>
            </w:drawing>
          </w:r>
        </w:p>
      </w:tc>
      <w:tc>
        <w:tcPr>
          <w:tcW w:w="6792" w:type="dxa"/>
        </w:tcPr>
        <w:p w14:paraId="1440E93F" w14:textId="77777777" w:rsidR="0034281E" w:rsidRDefault="0034281E" w:rsidP="0034281E">
          <w:pPr>
            <w:pBdr>
              <w:top w:val="nil"/>
              <w:left w:val="nil"/>
              <w:bottom w:val="nil"/>
              <w:right w:val="nil"/>
              <w:between w:val="nil"/>
            </w:pBdr>
            <w:tabs>
              <w:tab w:val="center" w:pos="4252"/>
              <w:tab w:val="right" w:pos="8504"/>
            </w:tabs>
            <w:spacing w:line="276" w:lineRule="auto"/>
            <w:jc w:val="center"/>
            <w:rPr>
              <w:b/>
              <w:bCs/>
              <w:color w:val="000000"/>
            </w:rPr>
          </w:pPr>
          <w:r>
            <w:rPr>
              <w:b/>
              <w:bCs/>
              <w:color w:val="000000"/>
            </w:rPr>
            <w:t xml:space="preserve">Pliego de Bases y Condiciones </w:t>
          </w:r>
          <w:r>
            <w:rPr>
              <w:b/>
              <w:bCs/>
              <w:color w:val="000000"/>
            </w:rPr>
            <w:br/>
            <w:t>Concurso Contratación Ingeniero Consultor</w:t>
          </w:r>
        </w:p>
      </w:tc>
    </w:tr>
  </w:tbl>
  <w:p w14:paraId="50872244" w14:textId="77777777" w:rsidR="0034281E" w:rsidRDefault="003428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493201"/>
    <w:multiLevelType w:val="multilevel"/>
    <w:tmpl w:val="219CCD3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5A454D10"/>
    <w:multiLevelType w:val="multilevel"/>
    <w:tmpl w:val="4748EF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1DF655E"/>
    <w:multiLevelType w:val="multilevel"/>
    <w:tmpl w:val="BDD4F358"/>
    <w:lvl w:ilvl="0">
      <w:start w:val="2"/>
      <w:numFmt w:val="decimal"/>
      <w:lvlText w:val="Anexo %1."/>
      <w:lvlJc w:val="left"/>
      <w:pPr>
        <w:ind w:left="928" w:hanging="360"/>
      </w:pPr>
      <w:rPr>
        <w:rFonts w:hint="default"/>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num w:numId="1" w16cid:durableId="1608149241">
    <w:abstractNumId w:val="2"/>
  </w:num>
  <w:num w:numId="2" w16cid:durableId="924188984">
    <w:abstractNumId w:val="0"/>
  </w:num>
  <w:num w:numId="3" w16cid:durableId="394813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81E"/>
    <w:rsid w:val="002753B9"/>
    <w:rsid w:val="00336780"/>
    <w:rsid w:val="0034281E"/>
    <w:rsid w:val="004A38FF"/>
    <w:rsid w:val="00626B7B"/>
    <w:rsid w:val="008E2C3E"/>
    <w:rsid w:val="0091702D"/>
    <w:rsid w:val="00C30BDC"/>
    <w:rsid w:val="00CB51D6"/>
    <w:rsid w:val="00CE400E"/>
    <w:rsid w:val="00CF2DE5"/>
    <w:rsid w:val="00F47DB8"/>
    <w:rsid w:val="00F777B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42062"/>
  <w15:chartTrackingRefBased/>
  <w15:docId w15:val="{69F7A3ED-52B8-4F2E-A8CB-1AC29F71B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E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281E"/>
    <w:pPr>
      <w:spacing w:before="120" w:after="240" w:line="360" w:lineRule="auto"/>
      <w:jc w:val="both"/>
    </w:pPr>
    <w:rPr>
      <w:rFonts w:ascii="Arial" w:eastAsia="Arial" w:hAnsi="Arial" w:cs="Arial"/>
      <w:kern w:val="0"/>
      <w:sz w:val="22"/>
      <w:szCs w:val="22"/>
      <w:lang w:val="es"/>
      <w14:ligatures w14:val="none"/>
    </w:rPr>
  </w:style>
  <w:style w:type="paragraph" w:styleId="Ttulo1">
    <w:name w:val="heading 1"/>
    <w:basedOn w:val="Normal"/>
    <w:next w:val="Normal"/>
    <w:link w:val="Ttulo1Car"/>
    <w:uiPriority w:val="9"/>
    <w:qFormat/>
    <w:rsid w:val="0034281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tulo2">
    <w:name w:val="heading 2"/>
    <w:basedOn w:val="Normal"/>
    <w:next w:val="Normal"/>
    <w:link w:val="Ttulo2Car"/>
    <w:uiPriority w:val="9"/>
    <w:semiHidden/>
    <w:unhideWhenUsed/>
    <w:qFormat/>
    <w:rsid w:val="0034281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
    <w:uiPriority w:val="9"/>
    <w:semiHidden/>
    <w:unhideWhenUsed/>
    <w:qFormat/>
    <w:rsid w:val="0034281E"/>
    <w:pPr>
      <w:keepNext/>
      <w:keepLines/>
      <w:spacing w:before="160" w:after="80"/>
      <w:outlineLvl w:val="2"/>
    </w:pPr>
    <w:rPr>
      <w:rFonts w:eastAsiaTheme="majorEastAsia" w:cstheme="majorBidi"/>
      <w:color w:val="2E74B5" w:themeColor="accent1" w:themeShade="BF"/>
      <w:sz w:val="28"/>
      <w:szCs w:val="28"/>
    </w:rPr>
  </w:style>
  <w:style w:type="paragraph" w:styleId="Ttulo4">
    <w:name w:val="heading 4"/>
    <w:basedOn w:val="Normal"/>
    <w:next w:val="Normal"/>
    <w:link w:val="Ttulo4Car"/>
    <w:uiPriority w:val="9"/>
    <w:semiHidden/>
    <w:unhideWhenUsed/>
    <w:qFormat/>
    <w:rsid w:val="0034281E"/>
    <w:pPr>
      <w:keepNext/>
      <w:keepLines/>
      <w:spacing w:before="80" w:after="40"/>
      <w:outlineLvl w:val="3"/>
    </w:pPr>
    <w:rPr>
      <w:rFonts w:eastAsiaTheme="majorEastAsia" w:cstheme="majorBidi"/>
      <w:i/>
      <w:iCs/>
      <w:color w:val="2E74B5" w:themeColor="accent1" w:themeShade="BF"/>
    </w:rPr>
  </w:style>
  <w:style w:type="paragraph" w:styleId="Ttulo5">
    <w:name w:val="heading 5"/>
    <w:basedOn w:val="Normal"/>
    <w:next w:val="Normal"/>
    <w:link w:val="Ttulo5Car"/>
    <w:uiPriority w:val="9"/>
    <w:semiHidden/>
    <w:unhideWhenUsed/>
    <w:qFormat/>
    <w:rsid w:val="0034281E"/>
    <w:pPr>
      <w:keepNext/>
      <w:keepLines/>
      <w:spacing w:before="80" w:after="40"/>
      <w:outlineLvl w:val="4"/>
    </w:pPr>
    <w:rPr>
      <w:rFonts w:eastAsiaTheme="majorEastAsia" w:cstheme="majorBidi"/>
      <w:color w:val="2E74B5" w:themeColor="accent1" w:themeShade="BF"/>
    </w:rPr>
  </w:style>
  <w:style w:type="paragraph" w:styleId="Ttulo6">
    <w:name w:val="heading 6"/>
    <w:basedOn w:val="Normal"/>
    <w:next w:val="Normal"/>
    <w:link w:val="Ttulo6Car"/>
    <w:uiPriority w:val="9"/>
    <w:semiHidden/>
    <w:unhideWhenUsed/>
    <w:qFormat/>
    <w:rsid w:val="0034281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4281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4281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4281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4281E"/>
    <w:rPr>
      <w:rFonts w:asciiTheme="majorHAnsi" w:eastAsiaTheme="majorEastAsia" w:hAnsiTheme="majorHAnsi" w:cstheme="majorBidi"/>
      <w:color w:val="2E74B5" w:themeColor="accent1" w:themeShade="BF"/>
      <w:sz w:val="40"/>
      <w:szCs w:val="40"/>
    </w:rPr>
  </w:style>
  <w:style w:type="character" w:customStyle="1" w:styleId="Ttulo2Car">
    <w:name w:val="Título 2 Car"/>
    <w:basedOn w:val="Fuentedeprrafopredeter"/>
    <w:link w:val="Ttulo2"/>
    <w:uiPriority w:val="9"/>
    <w:semiHidden/>
    <w:rsid w:val="0034281E"/>
    <w:rPr>
      <w:rFonts w:asciiTheme="majorHAnsi" w:eastAsiaTheme="majorEastAsia" w:hAnsiTheme="majorHAnsi" w:cstheme="majorBidi"/>
      <w:color w:val="2E74B5" w:themeColor="accent1" w:themeShade="BF"/>
      <w:sz w:val="32"/>
      <w:szCs w:val="32"/>
    </w:rPr>
  </w:style>
  <w:style w:type="character" w:customStyle="1" w:styleId="Ttulo3Car">
    <w:name w:val="Título 3 Car"/>
    <w:basedOn w:val="Fuentedeprrafopredeter"/>
    <w:link w:val="Ttulo3"/>
    <w:uiPriority w:val="9"/>
    <w:semiHidden/>
    <w:rsid w:val="0034281E"/>
    <w:rPr>
      <w:rFonts w:eastAsiaTheme="majorEastAsia" w:cstheme="majorBidi"/>
      <w:color w:val="2E74B5" w:themeColor="accent1" w:themeShade="BF"/>
      <w:sz w:val="28"/>
      <w:szCs w:val="28"/>
    </w:rPr>
  </w:style>
  <w:style w:type="character" w:customStyle="1" w:styleId="Ttulo4Car">
    <w:name w:val="Título 4 Car"/>
    <w:basedOn w:val="Fuentedeprrafopredeter"/>
    <w:link w:val="Ttulo4"/>
    <w:uiPriority w:val="9"/>
    <w:semiHidden/>
    <w:rsid w:val="0034281E"/>
    <w:rPr>
      <w:rFonts w:eastAsiaTheme="majorEastAsia" w:cstheme="majorBidi"/>
      <w:i/>
      <w:iCs/>
      <w:color w:val="2E74B5" w:themeColor="accent1" w:themeShade="BF"/>
    </w:rPr>
  </w:style>
  <w:style w:type="character" w:customStyle="1" w:styleId="Ttulo5Car">
    <w:name w:val="Título 5 Car"/>
    <w:basedOn w:val="Fuentedeprrafopredeter"/>
    <w:link w:val="Ttulo5"/>
    <w:uiPriority w:val="9"/>
    <w:semiHidden/>
    <w:rsid w:val="0034281E"/>
    <w:rPr>
      <w:rFonts w:eastAsiaTheme="majorEastAsia" w:cstheme="majorBidi"/>
      <w:color w:val="2E74B5" w:themeColor="accent1" w:themeShade="BF"/>
    </w:rPr>
  </w:style>
  <w:style w:type="character" w:customStyle="1" w:styleId="Ttulo6Car">
    <w:name w:val="Título 6 Car"/>
    <w:basedOn w:val="Fuentedeprrafopredeter"/>
    <w:link w:val="Ttulo6"/>
    <w:uiPriority w:val="9"/>
    <w:semiHidden/>
    <w:rsid w:val="0034281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4281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4281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4281E"/>
    <w:rPr>
      <w:rFonts w:eastAsiaTheme="majorEastAsia" w:cstheme="majorBidi"/>
      <w:color w:val="272727" w:themeColor="text1" w:themeTint="D8"/>
    </w:rPr>
  </w:style>
  <w:style w:type="paragraph" w:styleId="Ttulo">
    <w:name w:val="Title"/>
    <w:basedOn w:val="Normal"/>
    <w:next w:val="Normal"/>
    <w:link w:val="TtuloCar"/>
    <w:uiPriority w:val="10"/>
    <w:qFormat/>
    <w:rsid w:val="003428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4281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4281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4281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4281E"/>
    <w:pPr>
      <w:spacing w:before="160"/>
      <w:jc w:val="center"/>
    </w:pPr>
    <w:rPr>
      <w:i/>
      <w:iCs/>
      <w:color w:val="404040" w:themeColor="text1" w:themeTint="BF"/>
    </w:rPr>
  </w:style>
  <w:style w:type="character" w:customStyle="1" w:styleId="CitaCar">
    <w:name w:val="Cita Car"/>
    <w:basedOn w:val="Fuentedeprrafopredeter"/>
    <w:link w:val="Cita"/>
    <w:uiPriority w:val="29"/>
    <w:rsid w:val="0034281E"/>
    <w:rPr>
      <w:i/>
      <w:iCs/>
      <w:color w:val="404040" w:themeColor="text1" w:themeTint="BF"/>
    </w:rPr>
  </w:style>
  <w:style w:type="paragraph" w:styleId="Prrafodelista">
    <w:name w:val="List Paragraph"/>
    <w:basedOn w:val="Normal"/>
    <w:uiPriority w:val="34"/>
    <w:qFormat/>
    <w:rsid w:val="0034281E"/>
    <w:pPr>
      <w:ind w:left="720"/>
      <w:contextualSpacing/>
    </w:pPr>
  </w:style>
  <w:style w:type="character" w:styleId="nfasisintenso">
    <w:name w:val="Intense Emphasis"/>
    <w:basedOn w:val="Fuentedeprrafopredeter"/>
    <w:uiPriority w:val="21"/>
    <w:qFormat/>
    <w:rsid w:val="0034281E"/>
    <w:rPr>
      <w:i/>
      <w:iCs/>
      <w:color w:val="2E74B5" w:themeColor="accent1" w:themeShade="BF"/>
    </w:rPr>
  </w:style>
  <w:style w:type="paragraph" w:styleId="Citadestacada">
    <w:name w:val="Intense Quote"/>
    <w:basedOn w:val="Normal"/>
    <w:next w:val="Normal"/>
    <w:link w:val="CitadestacadaCar"/>
    <w:uiPriority w:val="30"/>
    <w:qFormat/>
    <w:rsid w:val="0034281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destacadaCar">
    <w:name w:val="Cita destacada Car"/>
    <w:basedOn w:val="Fuentedeprrafopredeter"/>
    <w:link w:val="Citadestacada"/>
    <w:uiPriority w:val="30"/>
    <w:rsid w:val="0034281E"/>
    <w:rPr>
      <w:i/>
      <w:iCs/>
      <w:color w:val="2E74B5" w:themeColor="accent1" w:themeShade="BF"/>
    </w:rPr>
  </w:style>
  <w:style w:type="character" w:styleId="Referenciaintensa">
    <w:name w:val="Intense Reference"/>
    <w:basedOn w:val="Fuentedeprrafopredeter"/>
    <w:uiPriority w:val="32"/>
    <w:qFormat/>
    <w:rsid w:val="0034281E"/>
    <w:rPr>
      <w:b/>
      <w:bCs/>
      <w:smallCaps/>
      <w:color w:val="2E74B5" w:themeColor="accent1" w:themeShade="BF"/>
      <w:spacing w:val="5"/>
    </w:rPr>
  </w:style>
  <w:style w:type="paragraph" w:styleId="Encabezado">
    <w:name w:val="header"/>
    <w:basedOn w:val="Normal"/>
    <w:link w:val="EncabezadoCar"/>
    <w:uiPriority w:val="99"/>
    <w:unhideWhenUsed/>
    <w:rsid w:val="0034281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4281E"/>
  </w:style>
  <w:style w:type="paragraph" w:styleId="Piedepgina">
    <w:name w:val="footer"/>
    <w:basedOn w:val="Normal"/>
    <w:link w:val="PiedepginaCar"/>
    <w:uiPriority w:val="99"/>
    <w:unhideWhenUsed/>
    <w:rsid w:val="0034281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4281E"/>
  </w:style>
  <w:style w:type="character" w:styleId="Textoennegrita">
    <w:name w:val="Strong"/>
    <w:basedOn w:val="Fuentedeprrafopredeter"/>
    <w:uiPriority w:val="22"/>
    <w:qFormat/>
    <w:rsid w:val="003428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933</Words>
  <Characters>5132</Characters>
  <Application>Microsoft Office Word</Application>
  <DocSecurity>0</DocSecurity>
  <Lines>42</Lines>
  <Paragraphs>12</Paragraphs>
  <ScaleCrop>false</ScaleCrop>
  <Company/>
  <LinksUpToDate>false</LinksUpToDate>
  <CharactersWithSpaces>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Jirala</dc:creator>
  <cp:keywords/>
  <dc:description/>
  <cp:lastModifiedBy>Pablo  Jirala</cp:lastModifiedBy>
  <cp:revision>2</cp:revision>
  <dcterms:created xsi:type="dcterms:W3CDTF">2025-11-17T13:40:00Z</dcterms:created>
  <dcterms:modified xsi:type="dcterms:W3CDTF">2025-11-17T13:43:00Z</dcterms:modified>
</cp:coreProperties>
</file>